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color w:val="ff0000"/>
          <w:highlight w:val="white"/>
        </w:rPr>
      </w:pPr>
      <w:r w:rsidDel="00000000" w:rsidR="00000000" w:rsidRPr="00000000">
        <w:rPr/>
        <w:drawing>
          <wp:inline distB="114300" distT="114300" distL="114300" distR="114300">
            <wp:extent cx="1376363" cy="1553958"/>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76363" cy="15539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ff0000"/>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ff0000"/>
          <w:highlight w:val="white"/>
          <w:rtl w:val="0"/>
        </w:rPr>
        <w:t xml:space="preserve">Month, Day, Year</w:t>
      </w:r>
      <w:r w:rsidDel="00000000" w:rsidR="00000000" w:rsidRPr="00000000">
        <w:rPr>
          <w:rFonts w:ascii="Times New Roman" w:cs="Times New Roman" w:eastAsia="Times New Roman" w:hAnsi="Times New Roman"/>
          <w:highlight w:val="white"/>
          <w:rtl w:val="0"/>
        </w:rPr>
        <w:tab/>
        <w:tab/>
        <w:tab/>
        <w:tab/>
        <w:tab/>
        <w:tab/>
      </w:r>
    </w:p>
    <w:p w:rsidR="00000000" w:rsidDel="00000000" w:rsidP="00000000" w:rsidRDefault="00000000" w:rsidRPr="00000000" w14:paraId="00000004">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ff0000"/>
          <w:highlight w:val="white"/>
        </w:rPr>
      </w:pPr>
      <w:r w:rsidDel="00000000" w:rsidR="00000000" w:rsidRPr="00000000">
        <w:rPr>
          <w:rFonts w:ascii="Times New Roman" w:cs="Times New Roman" w:eastAsia="Times New Roman" w:hAnsi="Times New Roman"/>
          <w:color w:val="ff0000"/>
          <w:highlight w:val="white"/>
          <w:rtl w:val="0"/>
        </w:rPr>
        <w:t xml:space="preserve">Title/Name</w:t>
      </w:r>
    </w:p>
    <w:p w:rsidR="00000000" w:rsidDel="00000000" w:rsidP="00000000" w:rsidRDefault="00000000" w:rsidRPr="00000000" w14:paraId="00000006">
      <w:pPr>
        <w:rPr>
          <w:rFonts w:ascii="Times New Roman" w:cs="Times New Roman" w:eastAsia="Times New Roman" w:hAnsi="Times New Roman"/>
          <w:color w:val="ff0000"/>
          <w:highlight w:val="white"/>
        </w:rPr>
      </w:pPr>
      <w:r w:rsidDel="00000000" w:rsidR="00000000" w:rsidRPr="00000000">
        <w:rPr>
          <w:rFonts w:ascii="Times New Roman" w:cs="Times New Roman" w:eastAsia="Times New Roman" w:hAnsi="Times New Roman"/>
          <w:color w:val="ff0000"/>
          <w:highlight w:val="white"/>
          <w:rtl w:val="0"/>
        </w:rPr>
        <w:t xml:space="preserve">Institution Name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highlight w:val="white"/>
          <w:rtl w:val="0"/>
        </w:rPr>
        <w:t xml:space="preserve">Address</w:t>
      </w: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w:t>
      </w:r>
      <w:r w:rsidDel="00000000" w:rsidR="00000000" w:rsidRPr="00000000">
        <w:rPr>
          <w:rFonts w:ascii="Times New Roman" w:cs="Times New Roman" w:eastAsia="Times New Roman" w:hAnsi="Times New Roman"/>
          <w:color w:val="ff0000"/>
          <w:rtl w:val="0"/>
        </w:rPr>
        <w:t xml:space="preserve">[recipient name]</w:t>
      </w:r>
      <w:r w:rsidDel="00000000" w:rsidR="00000000" w:rsidRPr="00000000">
        <w:rPr>
          <w:rFonts w:ascii="Times New Roman" w:cs="Times New Roman" w:eastAsia="Times New Roman" w:hAnsi="Times New Roman"/>
          <w:rtl w:val="0"/>
        </w:rPr>
        <w:t xml:space="preserve">:</w:t>
        <w:tab/>
        <w:tab/>
        <w:tab/>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Fair For All  (FAIR) is a nonpartisan, nonprofit organization dedicated to advancing civil rights and liberties and promoting a common culture based on fairness, understanding, and humanity. We have tens of thousands of members nationwide, including in </w:t>
      </w:r>
      <w:r w:rsidDel="00000000" w:rsidR="00000000" w:rsidRPr="00000000">
        <w:rPr>
          <w:rFonts w:ascii="Times New Roman" w:cs="Times New Roman" w:eastAsia="Times New Roman" w:hAnsi="Times New Roman"/>
          <w:color w:val="ff0000"/>
          <w:rtl w:val="0"/>
        </w:rPr>
        <w:t xml:space="preserve">[State]</w:t>
      </w:r>
      <w:r w:rsidDel="00000000" w:rsidR="00000000" w:rsidRPr="00000000">
        <w:rPr>
          <w:rFonts w:ascii="Times New Roman" w:cs="Times New Roman" w:eastAsia="Times New Roman" w:hAnsi="Times New Roman"/>
          <w:rtl w:val="0"/>
        </w:rPr>
        <w:t xml:space="preserve">. Our website, </w:t>
      </w:r>
      <w:hyperlink r:id="rId9">
        <w:r w:rsidDel="00000000" w:rsidR="00000000" w:rsidRPr="00000000">
          <w:rPr>
            <w:rFonts w:ascii="Times New Roman" w:cs="Times New Roman" w:eastAsia="Times New Roman" w:hAnsi="Times New Roman"/>
            <w:color w:val="1155cc"/>
            <w:u w:val="single"/>
            <w:rtl w:val="0"/>
          </w:rPr>
          <w:t xml:space="preserve">fairforall.org</w:t>
        </w:r>
      </w:hyperlink>
      <w:r w:rsidDel="00000000" w:rsidR="00000000" w:rsidRPr="00000000">
        <w:rPr>
          <w:rFonts w:ascii="Times New Roman" w:cs="Times New Roman" w:eastAsia="Times New Roman" w:hAnsi="Times New Roman"/>
          <w:rtl w:val="0"/>
        </w:rPr>
        <w:t xml:space="preserve">, can give you a fuller sense of our identity and activities.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FAIR member and a parent within the </w:t>
      </w:r>
      <w:r w:rsidDel="00000000" w:rsidR="00000000" w:rsidRPr="00000000">
        <w:rPr>
          <w:rFonts w:ascii="Times New Roman" w:cs="Times New Roman" w:eastAsia="Times New Roman" w:hAnsi="Times New Roman"/>
          <w:color w:val="ff0000"/>
          <w:rtl w:val="0"/>
        </w:rPr>
        <w:t xml:space="preserve">[school name/district name]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I write today in order to raise important considerations that must be accounted for in advance of the upcoming </w:t>
      </w:r>
      <w:r w:rsidDel="00000000" w:rsidR="00000000" w:rsidRPr="00000000">
        <w:rPr>
          <w:rFonts w:ascii="Times New Roman" w:cs="Times New Roman" w:eastAsia="Times New Roman" w:hAnsi="Times New Roman"/>
          <w:color w:val="ff0000"/>
          <w:rtl w:val="0"/>
        </w:rPr>
        <w:t xml:space="preserve">Day of Silence</w:t>
      </w:r>
      <w:r w:rsidDel="00000000" w:rsidR="00000000" w:rsidRPr="00000000">
        <w:rPr>
          <w:rFonts w:ascii="Times New Roman" w:cs="Times New Roman" w:eastAsia="Times New Roman" w:hAnsi="Times New Roman"/>
          <w:rtl w:val="0"/>
        </w:rPr>
        <w:t xml:space="preserve">, which will take place on April 10, 2026. It is important that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allow students to freely participate in the </w:t>
      </w:r>
      <w:r w:rsidDel="00000000" w:rsidR="00000000" w:rsidRPr="00000000">
        <w:rPr>
          <w:rFonts w:ascii="Times New Roman" w:cs="Times New Roman" w:eastAsia="Times New Roman" w:hAnsi="Times New Roman"/>
          <w:color w:val="ff0000"/>
          <w:rtl w:val="0"/>
        </w:rPr>
        <w:t xml:space="preserve">[event/protest]</w:t>
      </w:r>
      <w:r w:rsidDel="00000000" w:rsidR="00000000" w:rsidRPr="00000000">
        <w:rPr>
          <w:rFonts w:ascii="Times New Roman" w:cs="Times New Roman" w:eastAsia="Times New Roman" w:hAnsi="Times New Roman"/>
          <w:rtl w:val="0"/>
        </w:rPr>
        <w:t xml:space="preserve"> in a manner that comports with their free expression rights. It is equally important that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enforce its relevant policies in order to ensure that students who wish to abstain from participating are not subjected to bullying or harassment and do not otherwise feel compelled to participate. </w:t>
      </w:r>
    </w:p>
    <w:p w:rsidR="00000000" w:rsidDel="00000000" w:rsidP="00000000" w:rsidRDefault="00000000" w:rsidRPr="00000000" w14:paraId="0000000B">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importance of public schools’ stringent protection of their students’ First Amendment rights cannot be overstated. When it comes to social, political, and ideological matters, public schools are charged with teaching students </w:t>
      </w:r>
      <w:r w:rsidDel="00000000" w:rsidR="00000000" w:rsidRPr="00000000">
        <w:rPr>
          <w:rFonts w:ascii="Times New Roman" w:cs="Times New Roman" w:eastAsia="Times New Roman" w:hAnsi="Times New Roman"/>
          <w:i w:val="1"/>
          <w:iCs w:val="1"/>
          <w:rtl w:val="0"/>
        </w:rPr>
        <w:t xml:space="preserve">how</w:t>
      </w:r>
      <w:r w:rsidDel="00000000" w:rsidR="00000000" w:rsidRPr="00000000">
        <w:rPr>
          <w:rFonts w:ascii="Times New Roman" w:cs="Times New Roman" w:eastAsia="Times New Roman" w:hAnsi="Times New Roman"/>
          <w:rtl w:val="0"/>
        </w:rPr>
        <w:t xml:space="preserve"> to think, and with avoiding teaching students </w:t>
      </w:r>
      <w:r w:rsidDel="00000000" w:rsidR="00000000" w:rsidRPr="00000000">
        <w:rPr>
          <w:rFonts w:ascii="Times New Roman" w:cs="Times New Roman" w:eastAsia="Times New Roman" w:hAnsi="Times New Roman"/>
          <w:i w:val="1"/>
          <w:iCs w:val="1"/>
          <w:rtl w:val="0"/>
        </w:rPr>
        <w:t xml:space="preserve">what</w:t>
      </w:r>
      <w:r w:rsidDel="00000000" w:rsidR="00000000" w:rsidRPr="00000000">
        <w:rPr>
          <w:rFonts w:ascii="Times New Roman" w:cs="Times New Roman" w:eastAsia="Times New Roman" w:hAnsi="Times New Roman"/>
          <w:rtl w:val="0"/>
        </w:rPr>
        <w:t xml:space="preserve"> to think. I would like to applaud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for the many ways it allows students the freedom to explore and express their beliefs on important matters during this critical time in their personal development. </w:t>
      </w:r>
    </w:p>
    <w:p w:rsidR="00000000" w:rsidDel="00000000" w:rsidP="00000000" w:rsidRDefault="00000000" w:rsidRPr="00000000" w14:paraId="0000000C">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principles of open inquiry and free expression derived from the First Amendment to the United States Constitution serve as an important pillar of a well-rounded public education. These foundational principles are clearly reflected in the relevant body of Supreme Court law. The First Amendment demands that public school students have a variety of ideas and information available to them,</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that students have the freedom to interact with and respond to ideas and information in ways that are not substantially disruptive to the learning environment,</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and that students are free to reject ideas and beliefs they do not hold.</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The important balance inherent in this body of law is what allows students to learn and freely express themselves in a safe educational environment. </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urge the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 to closely review its existing policies in advance of the Day of Silence to ensure they provide faculty and staff with the tools necessary to ensure a positive experience for all students where their First Amendment rights are honored and safeguarded. Furthermore, I ask that you consider issuing a </w:t>
      </w:r>
      <w:r w:rsidDel="00000000" w:rsidR="00000000" w:rsidRPr="00000000">
        <w:rPr>
          <w:rFonts w:ascii="Times New Roman" w:cs="Times New Roman" w:eastAsia="Times New Roman" w:hAnsi="Times New Roman"/>
          <w:color w:val="ff0000"/>
          <w:rtl w:val="0"/>
        </w:rPr>
        <w:t xml:space="preserve">District/School</w:t>
      </w:r>
      <w:r w:rsidDel="00000000" w:rsidR="00000000" w:rsidRPr="00000000">
        <w:rPr>
          <w:rFonts w:ascii="Times New Roman" w:cs="Times New Roman" w:eastAsia="Times New Roman" w:hAnsi="Times New Roman"/>
          <w:rtl w:val="0"/>
        </w:rPr>
        <w:t xml:space="preserve">-wide communication that delineates the </w:t>
      </w:r>
      <w:r w:rsidDel="00000000" w:rsidR="00000000" w:rsidRPr="00000000">
        <w:rPr>
          <w:rFonts w:ascii="Times New Roman" w:cs="Times New Roman" w:eastAsia="Times New Roman" w:hAnsi="Times New Roman"/>
          <w:color w:val="ff0000"/>
          <w:rtl w:val="0"/>
        </w:rPr>
        <w:t xml:space="preserve">District’s/School’s</w:t>
      </w:r>
      <w:r w:rsidDel="00000000" w:rsidR="00000000" w:rsidRPr="00000000">
        <w:rPr>
          <w:rFonts w:ascii="Times New Roman" w:cs="Times New Roman" w:eastAsia="Times New Roman" w:hAnsi="Times New Roman"/>
          <w:rtl w:val="0"/>
        </w:rPr>
        <w:t xml:space="preserve"> policies and plan for ensuring the maintenance of a safe learning environment that protects all students.</w:t>
      </w:r>
    </w:p>
    <w:p w:rsidR="00000000" w:rsidDel="00000000" w:rsidP="00000000" w:rsidRDefault="00000000" w:rsidRPr="00000000" w14:paraId="0000000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truly yours,</w:t>
      </w:r>
    </w:p>
    <w:p w:rsidR="00000000" w:rsidDel="00000000" w:rsidP="00000000" w:rsidRDefault="00000000" w:rsidRPr="00000000" w14:paraId="0000000F">
      <w:pPr>
        <w:spacing w:after="240" w:before="240" w:lineRule="auto"/>
        <w:ind w:left="43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[NAME]</w:t>
      </w:r>
    </w:p>
    <w:p w:rsidR="00000000" w:rsidDel="00000000" w:rsidP="00000000" w:rsidRDefault="00000000" w:rsidRPr="00000000" w14:paraId="00000011">
      <w:pPr>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[Chapter Name, Title] </w:t>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 Against Intolerance &amp; Racism, Inc</w:t>
        <w:tab/>
        <w:tab/>
        <w:tab/>
        <w:tab/>
        <w:tab/>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 </w:t>
        <w:tab/>
        <w:t xml:space="preserve">[consider cc’ing all school board members, and any known attorneys representing the school board]</w:t>
      </w:r>
    </w:p>
    <w:sectPr>
      <w:headerReference r:id="rId10" w:type="default"/>
      <w:head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 </w:t>
      </w:r>
      <w:r w:rsidDel="00000000" w:rsidR="00000000" w:rsidRPr="00000000">
        <w:rPr>
          <w:rFonts w:ascii="Times New Roman" w:cs="Times New Roman" w:eastAsia="Times New Roman" w:hAnsi="Times New Roman"/>
          <w:i w:val="1"/>
          <w:iCs w:val="1"/>
          <w:sz w:val="20"/>
          <w:szCs w:val="20"/>
          <w:highlight w:val="white"/>
          <w:rtl w:val="0"/>
        </w:rPr>
        <w:t xml:space="preserve">Board of Educ., Island Trees Union Free School Dist. No. 26 v. Pico</w:t>
      </w:r>
      <w:r w:rsidDel="00000000" w:rsidR="00000000" w:rsidRPr="00000000">
        <w:rPr>
          <w:rFonts w:ascii="Times New Roman" w:cs="Times New Roman" w:eastAsia="Times New Roman" w:hAnsi="Times New Roman"/>
          <w:sz w:val="20"/>
          <w:szCs w:val="20"/>
          <w:highlight w:val="white"/>
          <w:rtl w:val="0"/>
        </w:rPr>
        <w:t xml:space="preserve">, 457 U.S. 853, 864 (1982) (holding that the First Amendment prohibits public school boards from removing library books in an effort to “prescribe what shall be orthodox in politics, nationalism, religion, or other matters of opinion”), </w:t>
      </w:r>
      <w:r w:rsidDel="00000000" w:rsidR="00000000" w:rsidRPr="00000000">
        <w:rPr>
          <w:rFonts w:ascii="Times New Roman" w:cs="Times New Roman" w:eastAsia="Times New Roman" w:hAnsi="Times New Roman"/>
          <w:i w:val="1"/>
          <w:iCs w:val="1"/>
          <w:sz w:val="20"/>
          <w:szCs w:val="20"/>
          <w:highlight w:val="white"/>
          <w:rtl w:val="0"/>
        </w:rPr>
        <w:t xml:space="preserve">citing</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i w:val="1"/>
          <w:iCs w:val="1"/>
          <w:sz w:val="20"/>
          <w:szCs w:val="20"/>
          <w:highlight w:val="white"/>
          <w:rtl w:val="0"/>
        </w:rPr>
        <w:t xml:space="preserve">Tinker v. Des Moines School Dist.</w:t>
      </w:r>
      <w:r w:rsidDel="00000000" w:rsidR="00000000" w:rsidRPr="00000000">
        <w:rPr>
          <w:rFonts w:ascii="Times New Roman" w:cs="Times New Roman" w:eastAsia="Times New Roman" w:hAnsi="Times New Roman"/>
          <w:sz w:val="20"/>
          <w:szCs w:val="20"/>
          <w:highlight w:val="white"/>
          <w:rtl w:val="0"/>
        </w:rPr>
        <w:t xml:space="preserve">, 393, U.S. 503, 506 (1969). </w:t>
      </w:r>
      <w:r w:rsidDel="00000000" w:rsidR="00000000" w:rsidRPr="00000000">
        <w:rPr>
          <w:rtl w:val="0"/>
        </w:rPr>
      </w:r>
    </w:p>
  </w:footnote>
  <w:footnote w:id="1">
    <w:p w:rsidR="00000000" w:rsidDel="00000000" w:rsidP="00000000" w:rsidRDefault="00000000" w:rsidRPr="00000000" w14:paraId="0000001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iCs w:val="1"/>
          <w:sz w:val="20"/>
          <w:szCs w:val="20"/>
          <w:highlight w:val="white"/>
          <w:rtl w:val="0"/>
        </w:rPr>
        <w:t xml:space="preserve">Tinker v. Des Moines School Dist.</w:t>
      </w:r>
      <w:r w:rsidDel="00000000" w:rsidR="00000000" w:rsidRPr="00000000">
        <w:rPr>
          <w:rFonts w:ascii="Times New Roman" w:cs="Times New Roman" w:eastAsia="Times New Roman" w:hAnsi="Times New Roman"/>
          <w:sz w:val="20"/>
          <w:szCs w:val="20"/>
          <w:highlight w:val="white"/>
          <w:rtl w:val="0"/>
        </w:rPr>
        <w:t xml:space="preserve">, 393, U.S. 503, 506 (1969) (holding that public school students’ free expression rights cannot be abridged unless the school can prove that such expression would materially and substantially interfere with the operation of the school).</w:t>
      </w:r>
      <w:r w:rsidDel="00000000" w:rsidR="00000000" w:rsidRPr="00000000">
        <w:rPr>
          <w:rtl w:val="0"/>
        </w:rPr>
      </w:r>
    </w:p>
  </w:footnote>
  <w:footnote w:id="2">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See</w:t>
      </w:r>
      <w:r w:rsidDel="00000000" w:rsidR="00000000" w:rsidRPr="00000000">
        <w:rPr>
          <w:rFonts w:ascii="Times New Roman" w:cs="Times New Roman" w:eastAsia="Times New Roman" w:hAnsi="Times New Roman"/>
          <w:i w:val="1"/>
          <w:iCs w:val="1"/>
          <w:sz w:val="20"/>
          <w:szCs w:val="20"/>
          <w:rtl w:val="0"/>
        </w:rPr>
        <w:t xml:space="preserve"> West Virginia State Bd. of Educ. v. Barnette, </w:t>
      </w:r>
      <w:r w:rsidDel="00000000" w:rsidR="00000000" w:rsidRPr="00000000">
        <w:rPr>
          <w:rFonts w:ascii="Times New Roman" w:cs="Times New Roman" w:eastAsia="Times New Roman" w:hAnsi="Times New Roman"/>
          <w:sz w:val="20"/>
          <w:szCs w:val="20"/>
          <w:rtl w:val="0"/>
        </w:rPr>
        <w:t xml:space="preserve">319 U.S. 624, 642 (1943) (public school students cannot be required to recite the Pledge of Allegiance); see also </w:t>
      </w:r>
      <w:r w:rsidDel="00000000" w:rsidR="00000000" w:rsidRPr="00000000">
        <w:rPr>
          <w:rFonts w:ascii="Times New Roman" w:cs="Times New Roman" w:eastAsia="Times New Roman" w:hAnsi="Times New Roman"/>
          <w:i w:val="1"/>
          <w:iCs w:val="1"/>
          <w:sz w:val="20"/>
          <w:szCs w:val="20"/>
          <w:rtl w:val="0"/>
        </w:rPr>
        <w:t xml:space="preserve">Hurley v. Irish-American Gay, Lesbian, &amp; Bisexual Grp.</w:t>
      </w:r>
      <w:r w:rsidDel="00000000" w:rsidR="00000000" w:rsidRPr="00000000">
        <w:rPr>
          <w:rFonts w:ascii="Times New Roman" w:cs="Times New Roman" w:eastAsia="Times New Roman" w:hAnsi="Times New Roman"/>
          <w:sz w:val="20"/>
          <w:szCs w:val="20"/>
          <w:rtl w:val="0"/>
        </w:rPr>
        <w:t xml:space="preserve">, 515 U.S. 557, 573 (1995); </w:t>
      </w:r>
      <w:r w:rsidDel="00000000" w:rsidR="00000000" w:rsidRPr="00000000">
        <w:rPr>
          <w:rFonts w:ascii="Times New Roman" w:cs="Times New Roman" w:eastAsia="Times New Roman" w:hAnsi="Times New Roman"/>
          <w:i w:val="1"/>
          <w:iCs w:val="1"/>
          <w:sz w:val="20"/>
          <w:szCs w:val="20"/>
          <w:rtl w:val="0"/>
        </w:rPr>
        <w:t xml:space="preserve">Wooley v. Maynard</w:t>
      </w:r>
      <w:r w:rsidDel="00000000" w:rsidR="00000000" w:rsidRPr="00000000">
        <w:rPr>
          <w:rFonts w:ascii="Times New Roman" w:cs="Times New Roman" w:eastAsia="Times New Roman" w:hAnsi="Times New Roman"/>
          <w:sz w:val="20"/>
          <w:szCs w:val="20"/>
          <w:rtl w:val="0"/>
        </w:rPr>
        <w:t xml:space="preserve">, 430 U.S. 705, 714 (1977) (“A system which secures the right to proselytize religious, political, and ideological causes must also guarantee the concomitant right to decline to foster such concepts.”).</w:t>
      </w:r>
    </w:p>
    <w:p w:rsidR="00000000" w:rsidDel="00000000" w:rsidP="00000000" w:rsidRDefault="00000000" w:rsidRPr="00000000" w14:paraId="00000018">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Recipient</w:t>
    </w:r>
  </w:p>
  <w:p w:rsidR="00000000" w:rsidDel="00000000" w:rsidP="00000000" w:rsidRDefault="00000000" w:rsidRPr="00000000" w14:paraId="0000001A">
    <w:pPr>
      <w:jc w:val="righ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Date</w:t>
    </w:r>
  </w:p>
  <w:p w:rsidR="00000000" w:rsidDel="00000000" w:rsidP="00000000" w:rsidRDefault="00000000" w:rsidRPr="00000000" w14:paraId="0000001B">
    <w:pPr>
      <w:jc w:val="righ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Page </w:t>
    </w:r>
    <w:r w:rsidDel="00000000" w:rsidR="00000000" w:rsidRPr="00000000">
      <w:rPr>
        <w:rFonts w:ascii="Times New Roman" w:cs="Times New Roman" w:eastAsia="Times New Roman" w:hAnsi="Times New Roman"/>
        <w:color w:val="ff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jc w:val="right"/>
      <w:rPr>
        <w:rFonts w:ascii="Times New Roman" w:cs="Times New Roman" w:eastAsia="Times New Roman" w:hAnsi="Times New Roman"/>
        <w:sz w:val="24"/>
        <w:szCs w:val="24"/>
        <w:highlight w:val="whit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fairforall.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KpePJP9yhMGKR3+B+s2I0j3OA==">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