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Dear [Recipient's Name],</w:t>
      </w:r>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 hope this letter finds you well. I am writing to suggest that the [School District Name] delay making any changes to school policies or operations based on the Title IX final rules published by the U.S. Department of Education in April of this year.</w:t>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Ongoing legal challenges and a recent significant change to judicial review standards for administrative rules have created a compliance environment that is in considerable limbo. Three federal judges have issued preliminary injunctions, temporarily delaying the effect and enforcement of these rules in fourteen states[, including YOUR STATE if applicable].</w:t>
      </w:r>
      <w:r w:rsidDel="00000000" w:rsidR="00000000" w:rsidRPr="00000000">
        <w:rPr>
          <w:rFonts w:ascii="Times New Roman" w:cs="Times New Roman" w:eastAsia="Times New Roman" w:hAnsi="Times New Roman"/>
          <w:sz w:val="24"/>
          <w:szCs w:val="24"/>
          <w:highlight w:val="white"/>
          <w:vertAlign w:val="superscript"/>
        </w:rPr>
        <w:footnoteReference w:customMarkFollows="0" w:id="0"/>
      </w:r>
      <w:r w:rsidDel="00000000" w:rsidR="00000000" w:rsidRPr="00000000">
        <w:rPr>
          <w:rFonts w:ascii="Times New Roman" w:cs="Times New Roman" w:eastAsia="Times New Roman" w:hAnsi="Times New Roman"/>
          <w:sz w:val="24"/>
          <w:szCs w:val="24"/>
          <w:highlight w:val="white"/>
          <w:rtl w:val="0"/>
        </w:rPr>
        <w:t xml:space="preserve"> Additionally, several lawsuits are still pending, which could lead to the enforcement of the Title IX rules being enjoined in more states. Most consequentially, the Supreme Court’s recent decision in </w:t>
      </w:r>
      <w:r w:rsidDel="00000000" w:rsidR="00000000" w:rsidRPr="00000000">
        <w:rPr>
          <w:rFonts w:ascii="Times New Roman" w:cs="Times New Roman" w:eastAsia="Times New Roman" w:hAnsi="Times New Roman"/>
          <w:i w:val="1"/>
          <w:sz w:val="24"/>
          <w:szCs w:val="24"/>
          <w:highlight w:val="white"/>
          <w:rtl w:val="0"/>
        </w:rPr>
        <w:t xml:space="preserve">Loper Bright Enterprises v. Raimondo</w:t>
      </w:r>
      <w:r w:rsidDel="00000000" w:rsidR="00000000" w:rsidRPr="00000000">
        <w:rPr>
          <w:rFonts w:ascii="Times New Roman" w:cs="Times New Roman" w:eastAsia="Times New Roman" w:hAnsi="Times New Roman"/>
          <w:sz w:val="24"/>
          <w:szCs w:val="24"/>
          <w:highlight w:val="white"/>
          <w:rtl w:val="0"/>
        </w:rPr>
        <w:t xml:space="preserve"> will ultimately lead to the nullification of several administrative rules that exceed statutory authority. This decision puts the new Title IX rule in extreme legal peril.</w:t>
      </w:r>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Given the legal uncertainties and the potential for further judicial review, it would be prudent to hold off on implementing any changes within the district until the legal landscape is more settled.</w:t>
      </w:r>
    </w:p>
    <w:p w:rsidR="00000000" w:rsidDel="00000000" w:rsidP="00000000" w:rsidRDefault="00000000" w:rsidRPr="00000000" w14:paraId="00000005">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Delaying action will help ensure that the district avoids unnecessary complications and potential conflicts with federal rulings. Additionally, delaying action will help the district avoid the costs of implementing policy changes that may soon become obsolete. I believe it is in the best interest of our students, faculty, and community to wait for more definitive guidance before making any adjustments based on the new Title IX rules.</w:t>
      </w:r>
    </w:p>
    <w:p w:rsidR="00000000" w:rsidDel="00000000" w:rsidP="00000000" w:rsidRDefault="00000000" w:rsidRPr="00000000" w14:paraId="00000006">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Thank you for your attention to this matter. I trust you will consider this suggestion carefully and I look forward to any updates you may provide on the district’s approach to this issue.</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Sincerely,</w:t>
        <w:br w:type="textWrapping"/>
        <w:t xml:space="preserve">[Your Name]</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A">
      <w:pPr>
        <w:rPr>
          <w:rFonts w:ascii="Trebuchet MS" w:cs="Trebuchet MS" w:eastAsia="Trebuchet MS" w:hAnsi="Trebuchet MS"/>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Trebuchet M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B">
      <w:pPr>
        <w:spacing w:line="240" w:lineRule="auto"/>
        <w:rPr>
          <w:rFonts w:ascii="Times New Roman" w:cs="Times New Roman" w:eastAsia="Times New Roman" w:hAnsi="Times New Roman"/>
          <w:color w:val="4b4b4b"/>
          <w:sz w:val="20"/>
          <w:szCs w:val="20"/>
          <w:highlight w:val="whit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40c28"/>
          <w:sz w:val="20"/>
          <w:szCs w:val="20"/>
          <w:highlight w:val="white"/>
          <w:rtl w:val="0"/>
        </w:rPr>
        <w:t xml:space="preserve">I</w:t>
      </w:r>
      <w:r w:rsidDel="00000000" w:rsidR="00000000" w:rsidRPr="00000000">
        <w:rPr>
          <w:rFonts w:ascii="Times New Roman" w:cs="Times New Roman" w:eastAsia="Times New Roman" w:hAnsi="Times New Roman"/>
          <w:color w:val="4b4b4b"/>
          <w:sz w:val="20"/>
          <w:szCs w:val="20"/>
          <w:highlight w:val="white"/>
          <w:rtl w:val="0"/>
        </w:rPr>
        <w:t xml:space="preserve">daho, Indiana, Kentucky, Louisiana, Mississippi, Montana, Ohio, Tennessee, Virginia, West Virginia, </w:t>
      </w:r>
      <w:r w:rsidDel="00000000" w:rsidR="00000000" w:rsidRPr="00000000">
        <w:rPr>
          <w:rFonts w:ascii="Times New Roman" w:cs="Times New Roman" w:eastAsia="Times New Roman" w:hAnsi="Times New Roman"/>
          <w:color w:val="333333"/>
          <w:sz w:val="20"/>
          <w:szCs w:val="20"/>
          <w:highlight w:val="white"/>
          <w:rtl w:val="0"/>
        </w:rPr>
        <w:t xml:space="preserve">Alaska, Kansas, Utah and Wyoming.</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