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highlight w:val="whit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3233738</wp:posOffset>
            </wp:positionH>
            <wp:positionV relativeFrom="paragraph">
              <wp:posOffset>114300</wp:posOffset>
            </wp:positionV>
            <wp:extent cx="2690813" cy="948684"/>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90813" cy="948684"/>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color w:val="ff0000"/>
          <w:highlight w:val="whit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ff0000"/>
          <w:highlight w:val="whit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ff0000"/>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ff0000"/>
          <w:highlight w:val="whit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color w:val="ff0000"/>
          <w:highlight w:val="whit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ff0000"/>
          <w:highlight w:val="white"/>
          <w:rtl w:val="0"/>
        </w:rPr>
        <w:t xml:space="preserve">Month, Day, Year</w:t>
      </w:r>
      <w:r w:rsidDel="00000000" w:rsidR="00000000" w:rsidRPr="00000000">
        <w:rPr>
          <w:rFonts w:ascii="Times New Roman" w:cs="Times New Roman" w:eastAsia="Times New Roman" w:hAnsi="Times New Roman"/>
          <w:highlight w:val="white"/>
          <w:rtl w:val="0"/>
        </w:rPr>
        <w:tab/>
        <w:tab/>
        <w:tab/>
        <w:tab/>
        <w:tab/>
        <w:tab/>
      </w:r>
    </w:p>
    <w:p w:rsidR="00000000" w:rsidDel="00000000" w:rsidP="00000000" w:rsidRDefault="00000000" w:rsidRPr="00000000" w14:paraId="00000008">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ff0000"/>
          <w:highlight w:val="white"/>
        </w:rPr>
      </w:pPr>
      <w:r w:rsidDel="00000000" w:rsidR="00000000" w:rsidRPr="00000000">
        <w:rPr>
          <w:rFonts w:ascii="Times New Roman" w:cs="Times New Roman" w:eastAsia="Times New Roman" w:hAnsi="Times New Roman"/>
          <w:color w:val="ff0000"/>
          <w:highlight w:val="white"/>
          <w:rtl w:val="0"/>
        </w:rPr>
        <w:t xml:space="preserve">Title/Name</w:t>
      </w:r>
    </w:p>
    <w:p w:rsidR="00000000" w:rsidDel="00000000" w:rsidP="00000000" w:rsidRDefault="00000000" w:rsidRPr="00000000" w14:paraId="0000000A">
      <w:pPr>
        <w:rPr>
          <w:rFonts w:ascii="Times New Roman" w:cs="Times New Roman" w:eastAsia="Times New Roman" w:hAnsi="Times New Roman"/>
          <w:color w:val="ff0000"/>
          <w:highlight w:val="white"/>
        </w:rPr>
      </w:pPr>
      <w:r w:rsidDel="00000000" w:rsidR="00000000" w:rsidRPr="00000000">
        <w:rPr>
          <w:rFonts w:ascii="Times New Roman" w:cs="Times New Roman" w:eastAsia="Times New Roman" w:hAnsi="Times New Roman"/>
          <w:color w:val="ff0000"/>
          <w:highlight w:val="white"/>
          <w:rtl w:val="0"/>
        </w:rPr>
        <w:t xml:space="preserve">Institution Name</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highlight w:val="white"/>
          <w:rtl w:val="0"/>
        </w:rPr>
        <w:t xml:space="preserve">Address</w:t>
      </w:r>
      <w:r w:rsidDel="00000000" w:rsidR="00000000" w:rsidRPr="00000000">
        <w:rPr>
          <w:rFonts w:ascii="Times New Roman" w:cs="Times New Roman" w:eastAsia="Times New Roman" w:hAnsi="Times New Roman"/>
          <w:rtl w:val="0"/>
        </w:rPr>
        <w:tab/>
        <w:tab/>
        <w:tab/>
        <w:tab/>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w:t>
      </w:r>
      <w:r w:rsidDel="00000000" w:rsidR="00000000" w:rsidRPr="00000000">
        <w:rPr>
          <w:rFonts w:ascii="Times New Roman" w:cs="Times New Roman" w:eastAsia="Times New Roman" w:hAnsi="Times New Roman"/>
          <w:color w:val="ff0000"/>
          <w:rtl w:val="0"/>
        </w:rPr>
        <w:t xml:space="preserve">[recipient name]</w:t>
      </w:r>
      <w:r w:rsidDel="00000000" w:rsidR="00000000" w:rsidRPr="00000000">
        <w:rPr>
          <w:rFonts w:ascii="Times New Roman" w:cs="Times New Roman" w:eastAsia="Times New Roman" w:hAnsi="Times New Roman"/>
          <w:rtl w:val="0"/>
        </w:rPr>
        <w:t xml:space="preserve">:</w:t>
        <w:tab/>
        <w:tab/>
        <w:tab/>
      </w:r>
    </w:p>
    <w:p w:rsidR="00000000" w:rsidDel="00000000" w:rsidP="00000000" w:rsidRDefault="00000000" w:rsidRPr="00000000" w14:paraId="0000000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Foundation Against Intolerance &amp; Racism (FAIR) is a nonpartisan, nonprofit organization dedicated to advancing civil rights and liberties and promoting a common culture based on fairness, understanding, and humanity. We have tens of thousands of members nationwide, including in </w:t>
      </w:r>
      <w:r w:rsidDel="00000000" w:rsidR="00000000" w:rsidRPr="00000000">
        <w:rPr>
          <w:rFonts w:ascii="Times New Roman" w:cs="Times New Roman" w:eastAsia="Times New Roman" w:hAnsi="Times New Roman"/>
          <w:color w:val="ff0000"/>
          <w:rtl w:val="0"/>
        </w:rPr>
        <w:t xml:space="preserve">[State]</w:t>
      </w:r>
      <w:r w:rsidDel="00000000" w:rsidR="00000000" w:rsidRPr="00000000">
        <w:rPr>
          <w:rFonts w:ascii="Times New Roman" w:cs="Times New Roman" w:eastAsia="Times New Roman" w:hAnsi="Times New Roman"/>
          <w:rtl w:val="0"/>
        </w:rPr>
        <w:t xml:space="preserve">. Our website, </w:t>
      </w:r>
      <w:hyperlink r:id="rId8">
        <w:r w:rsidDel="00000000" w:rsidR="00000000" w:rsidRPr="00000000">
          <w:rPr>
            <w:rFonts w:ascii="Times New Roman" w:cs="Times New Roman" w:eastAsia="Times New Roman" w:hAnsi="Times New Roman"/>
            <w:color w:val="1155cc"/>
            <w:u w:val="single"/>
            <w:rtl w:val="0"/>
          </w:rPr>
          <w:t xml:space="preserve">fairforall.org</w:t>
        </w:r>
      </w:hyperlink>
      <w:r w:rsidDel="00000000" w:rsidR="00000000" w:rsidRPr="00000000">
        <w:rPr>
          <w:rFonts w:ascii="Times New Roman" w:cs="Times New Roman" w:eastAsia="Times New Roman" w:hAnsi="Times New Roman"/>
          <w:rtl w:val="0"/>
        </w:rPr>
        <w:t xml:space="preserve">, can give you a fuller sense of our identity and activities.</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FAIR member and a parent within the </w:t>
      </w:r>
      <w:r w:rsidDel="00000000" w:rsidR="00000000" w:rsidRPr="00000000">
        <w:rPr>
          <w:rFonts w:ascii="Times New Roman" w:cs="Times New Roman" w:eastAsia="Times New Roman" w:hAnsi="Times New Roman"/>
          <w:color w:val="ff0000"/>
          <w:rtl w:val="0"/>
        </w:rPr>
        <w:t xml:space="preserve">[school name/district name]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color w:val="ff0000"/>
          <w:rtl w:val="0"/>
        </w:rPr>
        <w:t xml:space="preserve">“District”/“School”</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I write today in order to raise important considerations that must be accounted for in advance of the upcoming </w:t>
      </w:r>
      <w:r w:rsidDel="00000000" w:rsidR="00000000" w:rsidRPr="00000000">
        <w:rPr>
          <w:rFonts w:ascii="Times New Roman" w:cs="Times New Roman" w:eastAsia="Times New Roman" w:hAnsi="Times New Roman"/>
          <w:color w:val="ff0000"/>
          <w:rtl w:val="0"/>
        </w:rPr>
        <w:t xml:space="preserve">Day of Silence</w:t>
      </w:r>
      <w:r w:rsidDel="00000000" w:rsidR="00000000" w:rsidRPr="00000000">
        <w:rPr>
          <w:rFonts w:ascii="Times New Roman" w:cs="Times New Roman" w:eastAsia="Times New Roman" w:hAnsi="Times New Roman"/>
          <w:rtl w:val="0"/>
        </w:rPr>
        <w:t xml:space="preserve">, which will take place on April 12, 2024. It is important that the </w:t>
      </w:r>
      <w:r w:rsidDel="00000000" w:rsidR="00000000" w:rsidRPr="00000000">
        <w:rPr>
          <w:rFonts w:ascii="Times New Roman" w:cs="Times New Roman" w:eastAsia="Times New Roman" w:hAnsi="Times New Roman"/>
          <w:color w:val="ff0000"/>
          <w:rtl w:val="0"/>
        </w:rPr>
        <w:t xml:space="preserve">District/School</w:t>
      </w:r>
      <w:r w:rsidDel="00000000" w:rsidR="00000000" w:rsidRPr="00000000">
        <w:rPr>
          <w:rFonts w:ascii="Times New Roman" w:cs="Times New Roman" w:eastAsia="Times New Roman" w:hAnsi="Times New Roman"/>
          <w:rtl w:val="0"/>
        </w:rPr>
        <w:t xml:space="preserve"> allow students to freely participate in the </w:t>
      </w:r>
      <w:r w:rsidDel="00000000" w:rsidR="00000000" w:rsidRPr="00000000">
        <w:rPr>
          <w:rFonts w:ascii="Times New Roman" w:cs="Times New Roman" w:eastAsia="Times New Roman" w:hAnsi="Times New Roman"/>
          <w:color w:val="ff0000"/>
          <w:rtl w:val="0"/>
        </w:rPr>
        <w:t xml:space="preserve">[event/protest]</w:t>
      </w:r>
      <w:r w:rsidDel="00000000" w:rsidR="00000000" w:rsidRPr="00000000">
        <w:rPr>
          <w:rFonts w:ascii="Times New Roman" w:cs="Times New Roman" w:eastAsia="Times New Roman" w:hAnsi="Times New Roman"/>
          <w:rtl w:val="0"/>
        </w:rPr>
        <w:t xml:space="preserve"> in a manner that comports with their free expression rights. It is equally important that the </w:t>
      </w:r>
      <w:r w:rsidDel="00000000" w:rsidR="00000000" w:rsidRPr="00000000">
        <w:rPr>
          <w:rFonts w:ascii="Times New Roman" w:cs="Times New Roman" w:eastAsia="Times New Roman" w:hAnsi="Times New Roman"/>
          <w:color w:val="ff0000"/>
          <w:rtl w:val="0"/>
        </w:rPr>
        <w:t xml:space="preserve">District/School</w:t>
      </w:r>
      <w:r w:rsidDel="00000000" w:rsidR="00000000" w:rsidRPr="00000000">
        <w:rPr>
          <w:rFonts w:ascii="Times New Roman" w:cs="Times New Roman" w:eastAsia="Times New Roman" w:hAnsi="Times New Roman"/>
          <w:rtl w:val="0"/>
        </w:rPr>
        <w:t xml:space="preserve"> enforce its relevant policies in order to ensure that students who wish to abstain from participating are not subjected to bullying or harassment and do not otherwise feel compelled to participate. </w:t>
      </w:r>
    </w:p>
    <w:p w:rsidR="00000000" w:rsidDel="00000000" w:rsidP="00000000" w:rsidRDefault="00000000" w:rsidRPr="00000000" w14:paraId="0000000F">
      <w:pP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importance of public schools’ stringent protection of their students’ First Amendment rights cannot be overstated. When it comes to social, political, and ideological matters, public schools are charged with teaching students </w:t>
      </w:r>
      <w:r w:rsidDel="00000000" w:rsidR="00000000" w:rsidRPr="00000000">
        <w:rPr>
          <w:rFonts w:ascii="Times New Roman" w:cs="Times New Roman" w:eastAsia="Times New Roman" w:hAnsi="Times New Roman"/>
          <w:i w:val="1"/>
          <w:rtl w:val="0"/>
        </w:rPr>
        <w:t xml:space="preserve">how</w:t>
      </w:r>
      <w:r w:rsidDel="00000000" w:rsidR="00000000" w:rsidRPr="00000000">
        <w:rPr>
          <w:rFonts w:ascii="Times New Roman" w:cs="Times New Roman" w:eastAsia="Times New Roman" w:hAnsi="Times New Roman"/>
          <w:rtl w:val="0"/>
        </w:rPr>
        <w:t xml:space="preserve"> to think, and with avoiding teaching students </w:t>
      </w:r>
      <w:r w:rsidDel="00000000" w:rsidR="00000000" w:rsidRPr="00000000">
        <w:rPr>
          <w:rFonts w:ascii="Times New Roman" w:cs="Times New Roman" w:eastAsia="Times New Roman" w:hAnsi="Times New Roman"/>
          <w:i w:val="1"/>
          <w:rtl w:val="0"/>
        </w:rPr>
        <w:t xml:space="preserve">what</w:t>
      </w:r>
      <w:r w:rsidDel="00000000" w:rsidR="00000000" w:rsidRPr="00000000">
        <w:rPr>
          <w:rFonts w:ascii="Times New Roman" w:cs="Times New Roman" w:eastAsia="Times New Roman" w:hAnsi="Times New Roman"/>
          <w:rtl w:val="0"/>
        </w:rPr>
        <w:t xml:space="preserve"> to think. I would like to applaud the </w:t>
      </w:r>
      <w:r w:rsidDel="00000000" w:rsidR="00000000" w:rsidRPr="00000000">
        <w:rPr>
          <w:rFonts w:ascii="Times New Roman" w:cs="Times New Roman" w:eastAsia="Times New Roman" w:hAnsi="Times New Roman"/>
          <w:color w:val="ff0000"/>
          <w:rtl w:val="0"/>
        </w:rPr>
        <w:t xml:space="preserve">District/School</w:t>
      </w:r>
      <w:r w:rsidDel="00000000" w:rsidR="00000000" w:rsidRPr="00000000">
        <w:rPr>
          <w:rFonts w:ascii="Times New Roman" w:cs="Times New Roman" w:eastAsia="Times New Roman" w:hAnsi="Times New Roman"/>
          <w:rtl w:val="0"/>
        </w:rPr>
        <w:t xml:space="preserve"> for the many ways it allows students the freedom to explore and express their beliefs on important matters during this critical time in their personal development. </w:t>
      </w:r>
    </w:p>
    <w:p w:rsidR="00000000" w:rsidDel="00000000" w:rsidP="00000000" w:rsidRDefault="00000000" w:rsidRPr="00000000" w14:paraId="00000010">
      <w:pP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principles of open inquiry and free expression derived from the First Amendment to the United States Constitution serve as an important pillar of a well-rounded public education. These foundational principles are clearly reflected in the relevant body of Supreme Court law. The First Amendment demands that public school students have a variety of ideas and information available to them,</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that students have the freedom to interact with and respond to ideas and information in ways that are not substantially disruptive to the learning environment,</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and that students are free to reject ideas and beliefs they do not hold.</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The important balance inherent in this body of law is what allows students to learn and freely express themselves in a safe educational environment. </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urge the </w:t>
      </w:r>
      <w:r w:rsidDel="00000000" w:rsidR="00000000" w:rsidRPr="00000000">
        <w:rPr>
          <w:rFonts w:ascii="Times New Roman" w:cs="Times New Roman" w:eastAsia="Times New Roman" w:hAnsi="Times New Roman"/>
          <w:color w:val="ff0000"/>
          <w:rtl w:val="0"/>
        </w:rPr>
        <w:t xml:space="preserve">District/School</w:t>
      </w:r>
      <w:r w:rsidDel="00000000" w:rsidR="00000000" w:rsidRPr="00000000">
        <w:rPr>
          <w:rFonts w:ascii="Times New Roman" w:cs="Times New Roman" w:eastAsia="Times New Roman" w:hAnsi="Times New Roman"/>
          <w:rtl w:val="0"/>
        </w:rPr>
        <w:t xml:space="preserve"> to closely review its existing policies in advance of the </w:t>
      </w:r>
      <w:r w:rsidDel="00000000" w:rsidR="00000000" w:rsidRPr="00000000">
        <w:rPr>
          <w:rFonts w:ascii="Times New Roman" w:cs="Times New Roman" w:eastAsia="Times New Roman" w:hAnsi="Times New Roman"/>
          <w:rtl w:val="0"/>
        </w:rPr>
        <w:t xml:space="preserve">Day of Silance</w:t>
      </w:r>
      <w:r w:rsidDel="00000000" w:rsidR="00000000" w:rsidRPr="00000000">
        <w:rPr>
          <w:rFonts w:ascii="Times New Roman" w:cs="Times New Roman" w:eastAsia="Times New Roman" w:hAnsi="Times New Roman"/>
          <w:rtl w:val="0"/>
        </w:rPr>
        <w:t xml:space="preserve"> to ensure they provide faculty and staff with the tools necessary to ensure a positive experience for all students where their First Amendment rights are honored and safeguarded. Furthermore, I ask that you consider issuing a </w:t>
      </w:r>
      <w:r w:rsidDel="00000000" w:rsidR="00000000" w:rsidRPr="00000000">
        <w:rPr>
          <w:rFonts w:ascii="Times New Roman" w:cs="Times New Roman" w:eastAsia="Times New Roman" w:hAnsi="Times New Roman"/>
          <w:color w:val="ff0000"/>
          <w:rtl w:val="0"/>
        </w:rPr>
        <w:t xml:space="preserve">District/School</w:t>
      </w:r>
      <w:r w:rsidDel="00000000" w:rsidR="00000000" w:rsidRPr="00000000">
        <w:rPr>
          <w:rFonts w:ascii="Times New Roman" w:cs="Times New Roman" w:eastAsia="Times New Roman" w:hAnsi="Times New Roman"/>
          <w:rtl w:val="0"/>
        </w:rPr>
        <w:t xml:space="preserve">-wide communication that delineates the </w:t>
      </w:r>
      <w:r w:rsidDel="00000000" w:rsidR="00000000" w:rsidRPr="00000000">
        <w:rPr>
          <w:rFonts w:ascii="Times New Roman" w:cs="Times New Roman" w:eastAsia="Times New Roman" w:hAnsi="Times New Roman"/>
          <w:color w:val="ff0000"/>
          <w:rtl w:val="0"/>
        </w:rPr>
        <w:t xml:space="preserve">District’s/School’s</w:t>
      </w:r>
      <w:r w:rsidDel="00000000" w:rsidR="00000000" w:rsidRPr="00000000">
        <w:rPr>
          <w:rFonts w:ascii="Times New Roman" w:cs="Times New Roman" w:eastAsia="Times New Roman" w:hAnsi="Times New Roman"/>
          <w:rtl w:val="0"/>
        </w:rPr>
        <w:t xml:space="preserve"> policies and plan for ensuring the maintenance of a safe learning environment that protects </w:t>
      </w:r>
      <w:r w:rsidDel="00000000" w:rsidR="00000000" w:rsidRPr="00000000">
        <w:rPr>
          <w:rFonts w:ascii="Times New Roman" w:cs="Times New Roman" w:eastAsia="Times New Roman" w:hAnsi="Times New Roman"/>
          <w:rtl w:val="0"/>
        </w:rPr>
        <w:t xml:space="preserve">all</w:t>
      </w:r>
      <w:r w:rsidDel="00000000" w:rsidR="00000000" w:rsidRPr="00000000">
        <w:rPr>
          <w:rFonts w:ascii="Times New Roman" w:cs="Times New Roman" w:eastAsia="Times New Roman" w:hAnsi="Times New Roman"/>
          <w:rtl w:val="0"/>
        </w:rPr>
        <w:t xml:space="preserve"> students.</w:t>
      </w:r>
      <w:r w:rsidDel="00000000" w:rsidR="00000000" w:rsidRPr="00000000">
        <w:rPr>
          <w:rtl w:val="0"/>
        </w:rPr>
      </w:r>
    </w:p>
    <w:p w:rsidR="00000000" w:rsidDel="00000000" w:rsidP="00000000" w:rsidRDefault="00000000" w:rsidRPr="00000000" w14:paraId="0000001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truly yours,</w:t>
      </w:r>
    </w:p>
    <w:p w:rsidR="00000000" w:rsidDel="00000000" w:rsidP="00000000" w:rsidRDefault="00000000" w:rsidRPr="00000000" w14:paraId="00000013">
      <w:pPr>
        <w:spacing w:after="240" w:before="240" w:lineRule="auto"/>
        <w:ind w:left="43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p w:rsidR="00000000" w:rsidDel="00000000" w:rsidP="00000000" w:rsidRDefault="00000000" w:rsidRPr="00000000" w14:paraId="0000001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[Chapter Name, Title] </w:t>
      </w:r>
    </w:p>
    <w:p w:rsidR="00000000" w:rsidDel="00000000" w:rsidP="00000000" w:rsidRDefault="00000000" w:rsidRPr="00000000" w14:paraId="0000001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Foundation Against Intolerance &amp; Racism</w:t>
        <w:tab/>
        <w:tab/>
        <w:tab/>
        <w:tab/>
        <w:tab/>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cc: </w:t>
        <w:tab/>
        <w:t xml:space="preserve">[consider cc’ing all school board members, and any known attorneys representing the school board]</w:t>
      </w:r>
    </w:p>
    <w:sectPr>
      <w:headerReference r:id="rId9" w:type="default"/>
      <w:head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See </w:t>
      </w:r>
      <w:r w:rsidDel="00000000" w:rsidR="00000000" w:rsidRPr="00000000">
        <w:rPr>
          <w:rFonts w:ascii="Times New Roman" w:cs="Times New Roman" w:eastAsia="Times New Roman" w:hAnsi="Times New Roman"/>
          <w:i w:val="1"/>
          <w:sz w:val="20"/>
          <w:szCs w:val="20"/>
          <w:highlight w:val="white"/>
          <w:rtl w:val="0"/>
        </w:rPr>
        <w:t xml:space="preserve">Board of Educ., Island Trees Union Free School Dist. No. 26 v. Pico</w:t>
      </w:r>
      <w:r w:rsidDel="00000000" w:rsidR="00000000" w:rsidRPr="00000000">
        <w:rPr>
          <w:rFonts w:ascii="Times New Roman" w:cs="Times New Roman" w:eastAsia="Times New Roman" w:hAnsi="Times New Roman"/>
          <w:sz w:val="20"/>
          <w:szCs w:val="20"/>
          <w:highlight w:val="white"/>
          <w:rtl w:val="0"/>
        </w:rPr>
        <w:t xml:space="preserve">, 457 U.S. 853, 864 (1982) (holding that the First Amendment prohibits public school boards from removing library books in an effort to “prescribe what shall be orthodox in politics, nationalism, religion, or other matters of opinion”), </w:t>
      </w:r>
      <w:r w:rsidDel="00000000" w:rsidR="00000000" w:rsidRPr="00000000">
        <w:rPr>
          <w:rFonts w:ascii="Times New Roman" w:cs="Times New Roman" w:eastAsia="Times New Roman" w:hAnsi="Times New Roman"/>
          <w:i w:val="1"/>
          <w:sz w:val="20"/>
          <w:szCs w:val="20"/>
          <w:highlight w:val="white"/>
          <w:rtl w:val="0"/>
        </w:rPr>
        <w:t xml:space="preserve">citing</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i w:val="1"/>
          <w:sz w:val="20"/>
          <w:szCs w:val="20"/>
          <w:highlight w:val="white"/>
          <w:rtl w:val="0"/>
        </w:rPr>
        <w:t xml:space="preserve">Tinker v. Des Moines School Dist.</w:t>
      </w:r>
      <w:r w:rsidDel="00000000" w:rsidR="00000000" w:rsidRPr="00000000">
        <w:rPr>
          <w:rFonts w:ascii="Times New Roman" w:cs="Times New Roman" w:eastAsia="Times New Roman" w:hAnsi="Times New Roman"/>
          <w:sz w:val="20"/>
          <w:szCs w:val="20"/>
          <w:highlight w:val="white"/>
          <w:rtl w:val="0"/>
        </w:rPr>
        <w:t xml:space="preserve">, 393, U.S. 503, 506 (1969). </w:t>
      </w:r>
      <w:r w:rsidDel="00000000" w:rsidR="00000000" w:rsidRPr="00000000">
        <w:rPr>
          <w:rtl w:val="0"/>
        </w:rPr>
      </w:r>
    </w:p>
  </w:footnote>
  <w:footnote w:id="1">
    <w:p w:rsidR="00000000" w:rsidDel="00000000" w:rsidP="00000000" w:rsidRDefault="00000000" w:rsidRPr="00000000" w14:paraId="0000001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See</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20"/>
          <w:szCs w:val="20"/>
          <w:highlight w:val="white"/>
          <w:rtl w:val="0"/>
        </w:rPr>
        <w:t xml:space="preserve">Tinker v. Des Moines School Dist.</w:t>
      </w:r>
      <w:r w:rsidDel="00000000" w:rsidR="00000000" w:rsidRPr="00000000">
        <w:rPr>
          <w:rFonts w:ascii="Times New Roman" w:cs="Times New Roman" w:eastAsia="Times New Roman" w:hAnsi="Times New Roman"/>
          <w:sz w:val="20"/>
          <w:szCs w:val="20"/>
          <w:highlight w:val="white"/>
          <w:rtl w:val="0"/>
        </w:rPr>
        <w:t xml:space="preserve">, 393, U.S. 503, 506 (1969) (holding that public school students’ free expression rights cannot be abridged unless the school can prove that such expression would materially and substantially interfere with the operation of the school).</w:t>
      </w:r>
      <w:r w:rsidDel="00000000" w:rsidR="00000000" w:rsidRPr="00000000">
        <w:rPr>
          <w:rtl w:val="0"/>
        </w:rPr>
      </w:r>
    </w:p>
  </w:footnote>
  <w:footnote w:id="2">
    <w:p w:rsidR="00000000" w:rsidDel="00000000" w:rsidP="00000000" w:rsidRDefault="00000000" w:rsidRPr="00000000" w14:paraId="0000002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See</w:t>
      </w:r>
      <w:r w:rsidDel="00000000" w:rsidR="00000000" w:rsidRPr="00000000">
        <w:rPr>
          <w:rFonts w:ascii="Times New Roman" w:cs="Times New Roman" w:eastAsia="Times New Roman" w:hAnsi="Times New Roman"/>
          <w:i w:val="1"/>
          <w:sz w:val="20"/>
          <w:szCs w:val="20"/>
          <w:rtl w:val="0"/>
        </w:rPr>
        <w:t xml:space="preserve"> West Virginia State Bd. of Educ. v. Barnette, </w:t>
      </w:r>
      <w:r w:rsidDel="00000000" w:rsidR="00000000" w:rsidRPr="00000000">
        <w:rPr>
          <w:rFonts w:ascii="Times New Roman" w:cs="Times New Roman" w:eastAsia="Times New Roman" w:hAnsi="Times New Roman"/>
          <w:sz w:val="20"/>
          <w:szCs w:val="20"/>
          <w:rtl w:val="0"/>
        </w:rPr>
        <w:t xml:space="preserve">319 U.S. 624, 642 (1943) (public school students cannot be required to recite the Pledge of Allegiance); see also </w:t>
      </w:r>
      <w:r w:rsidDel="00000000" w:rsidR="00000000" w:rsidRPr="00000000">
        <w:rPr>
          <w:rFonts w:ascii="Times New Roman" w:cs="Times New Roman" w:eastAsia="Times New Roman" w:hAnsi="Times New Roman"/>
          <w:i w:val="1"/>
          <w:sz w:val="20"/>
          <w:szCs w:val="20"/>
          <w:rtl w:val="0"/>
        </w:rPr>
        <w:t xml:space="preserve">Hurley v. Irish-American Gay, Lesbian, &amp; Bisexual Grp.</w:t>
      </w:r>
      <w:r w:rsidDel="00000000" w:rsidR="00000000" w:rsidRPr="00000000">
        <w:rPr>
          <w:rFonts w:ascii="Times New Roman" w:cs="Times New Roman" w:eastAsia="Times New Roman" w:hAnsi="Times New Roman"/>
          <w:sz w:val="20"/>
          <w:szCs w:val="20"/>
          <w:rtl w:val="0"/>
        </w:rPr>
        <w:t xml:space="preserve">, 515 U.S. 557, 573 (1995); </w:t>
      </w:r>
      <w:r w:rsidDel="00000000" w:rsidR="00000000" w:rsidRPr="00000000">
        <w:rPr>
          <w:rFonts w:ascii="Times New Roman" w:cs="Times New Roman" w:eastAsia="Times New Roman" w:hAnsi="Times New Roman"/>
          <w:i w:val="1"/>
          <w:sz w:val="20"/>
          <w:szCs w:val="20"/>
          <w:rtl w:val="0"/>
        </w:rPr>
        <w:t xml:space="preserve">Wooley v. Maynard</w:t>
      </w:r>
      <w:r w:rsidDel="00000000" w:rsidR="00000000" w:rsidRPr="00000000">
        <w:rPr>
          <w:rFonts w:ascii="Times New Roman" w:cs="Times New Roman" w:eastAsia="Times New Roman" w:hAnsi="Times New Roman"/>
          <w:sz w:val="20"/>
          <w:szCs w:val="20"/>
          <w:rtl w:val="0"/>
        </w:rPr>
        <w:t xml:space="preserve">, 430 U.S. 705, 714 (1977) (“A system which secures the right to proselytize religious, political, and ideological causes must also guarantee the concomitant right to decline to foster such concepts.”).</w:t>
      </w:r>
    </w:p>
    <w:p w:rsidR="00000000" w:rsidDel="00000000" w:rsidP="00000000" w:rsidRDefault="00000000" w:rsidRPr="00000000" w14:paraId="00000021">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righ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Recipient</w:t>
    </w:r>
  </w:p>
  <w:p w:rsidR="00000000" w:rsidDel="00000000" w:rsidP="00000000" w:rsidRDefault="00000000" w:rsidRPr="00000000" w14:paraId="0000001A">
    <w:pPr>
      <w:jc w:val="righ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Date</w:t>
    </w:r>
  </w:p>
  <w:p w:rsidR="00000000" w:rsidDel="00000000" w:rsidP="00000000" w:rsidRDefault="00000000" w:rsidRPr="00000000" w14:paraId="0000001B">
    <w:pPr>
      <w:jc w:val="righ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Page </w:t>
    </w:r>
    <w:r w:rsidDel="00000000" w:rsidR="00000000" w:rsidRPr="00000000">
      <w:rPr>
        <w:rFonts w:ascii="Times New Roman" w:cs="Times New Roman" w:eastAsia="Times New Roman" w:hAnsi="Times New Roman"/>
        <w:color w:val="ff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jc w:val="right"/>
      <w:rPr>
        <w:rFonts w:ascii="Times New Roman" w:cs="Times New Roman" w:eastAsia="Times New Roman" w:hAnsi="Times New Roman"/>
        <w:sz w:val="24"/>
        <w:szCs w:val="24"/>
        <w:highlight w:val="whit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fairfora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